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icrolabel"/>
      </w:pPr>
      <w:r>
        <w:t>PAKIET EDUKACYJNY · WERSJA 1.1</w:t>
      </w:r>
    </w:p>
    <w:p>
      <w:pPr>
        <w:pStyle w:val="Title"/>
      </w:pPr>
      <w:r>
        <w:t>Śląska droga do Solidarności</w:t>
      </w:r>
    </w:p>
    <w:p>
      <w:pPr>
        <w:pStyle w:val="Subtitle"/>
      </w:pPr>
      <w:r>
        <w:t>Przewodnik nauczyciela do trzech niezależnych lekcji 45-minutowych</w:t>
      </w:r>
    </w:p>
    <w:p>
      <w:pPr>
        <w:spacing w:before="120" w:after="200"/>
        <w:ind w:left="142" w:right="142"/>
        <w:shd w:fill="E9E1D2"/>
      </w:pPr>
      <w:r>
        <w:rPr>
          <w:rFonts w:ascii="Arial" w:hAnsi="Arial"/>
          <w:b/>
          <w:sz w:val="18"/>
        </w:rPr>
        <w:t>KLASY 7–8     |     SZKOŁY PONADPODSTAWOWE</w:t>
      </w:r>
    </w:p>
    <w:p>
      <w:pPr>
        <w:pStyle w:val="Heading1"/>
      </w:pPr>
      <w:r>
        <w:t>Jak używać pakietu</w:t>
      </w:r>
    </w:p>
    <w:p>
      <w:pPr>
        <w:pStyle w:val="ListBullet"/>
      </w:pPr>
      <w:r>
        <w:t>Każdy moduł działa samodzielnie.</w:t>
      </w:r>
    </w:p>
    <w:p>
      <w:pPr>
        <w:pStyle w:val="ListBullet"/>
      </w:pPr>
      <w:r>
        <w:t>Prezentacja prowadzi rytm lekcji; pełny skrypt znajduje się tutaj i w HTML.</w:t>
      </w:r>
    </w:p>
    <w:p>
      <w:pPr>
        <w:pStyle w:val="ListBullet"/>
      </w:pPr>
      <w:r>
        <w:t>Karta pracy jest dostępna w PDF oraz edytowalnym DOCX.</w:t>
      </w:r>
    </w:p>
    <w:p>
      <w:pPr>
        <w:pStyle w:val="ListBullet"/>
      </w:pPr>
      <w:r>
        <w:t>Fakty historyczne sprawdzono w źródłach instytucjonalnych; pytania dydaktyczne są autorskim opracowaniem.</w:t>
      </w:r>
    </w:p>
    <w:p>
      <w:pPr>
        <w:pStyle w:val="Heading1"/>
      </w:pPr>
      <w:r>
        <w:t>Zasada wspólna</w:t>
      </w:r>
    </w:p>
    <w:p>
      <w:r>
        <w:t>Najpierw nazywamy rodzaj materiału i ustalamy, co mówi on wprost. Potem formułujemy interpretację. Na końcu zapisujemy pytanie oraz dokument lub opracowanie potrzebne do dalszej weryfikacji.</w:t>
      </w:r>
    </w:p>
    <w:p>
      <w:pPr>
        <w:pStyle w:val="Heading1"/>
      </w:pPr>
      <w:r>
        <w:t>Dostępność</w:t>
      </w:r>
    </w:p>
    <w:p>
      <w:r>
        <w:t>Kluczowe informacje są zapisane tekstem. Zadania można wykonać ustnie, pisemnie lub z pomocą technologii wspomagającej. Kolor nie jest jedynym nośnikiem znaczenia. Moduł historii mówionej nie wymaga nagrywania ani ujawniania osobistych doświadczeń.</w:t>
      </w:r>
    </w:p>
    <w:p>
      <w:pPr>
        <w:pStyle w:val="Heading1"/>
      </w:pPr>
      <w:r>
        <w:t>Przed pierwszym użyciem</w:t>
      </w:r>
    </w:p>
    <w:p>
      <w:pPr>
        <w:pStyle w:val="ListBullet"/>
      </w:pPr>
      <w:r>
        <w:t>Otwórz prezentację i wybierz wariant odpowiedni dla grupy.</w:t>
      </w:r>
    </w:p>
    <w:p>
      <w:pPr>
        <w:pStyle w:val="ListBullet"/>
      </w:pPr>
      <w:r>
        <w:t>Wydrukuj wskazane materiały; informacje o liczbie egzemplarzy znajdują się przy każdym module.</w:t>
      </w:r>
    </w:p>
    <w:p>
      <w:pPr>
        <w:pStyle w:val="ListBullet"/>
      </w:pPr>
      <w:r>
        <w:t>Przeczytaj odpowiedzi modelowe. Są wskazówką do informacji zwrotnej, nie kluczem wymagającym identycznych sformułowań.</w:t>
      </w:r>
    </w:p>
    <w:p>
      <w:r>
        <w:br w:type="page"/>
      </w:r>
    </w:p>
    <w:p>
      <w:pPr>
        <w:pStyle w:val="Microlabel"/>
      </w:pPr>
      <w:r>
        <w:t>MODUŁ 01 · 45 MINUT</w:t>
      </w:r>
    </w:p>
    <w:p>
      <w:pPr>
        <w:pStyle w:val="Title"/>
      </w:pPr>
      <w:r>
        <w:t>Dlaczego Śląsk?</w:t>
      </w:r>
    </w:p>
    <w:p>
      <w:pPr>
        <w:pStyle w:val="Subtitle"/>
      </w:pPr>
      <w:r>
        <w:t>Co zmienia się w obrazie Sierpnia ’80, gdy patrzymy z Jastrzębia-Zdroju?</w:t>
      </w:r>
    </w:p>
    <w:p>
      <w:pPr>
        <w:pStyle w:val="Heading1"/>
      </w:pPr>
      <w:r>
        <w:t>Cele i kryteria sukcesu</w:t>
      </w:r>
    </w:p>
    <w:p>
      <w:pPr>
        <w:pStyle w:val="ListBullet"/>
      </w:pPr>
      <w:r>
        <w:t>umieścić Porozumienie Jastrzębskie na osi wydarzeń</w:t>
      </w:r>
    </w:p>
    <w:p>
      <w:pPr>
        <w:pStyle w:val="ListBullet"/>
      </w:pPr>
      <w:r>
        <w:t>wyjaśnić ponadregionalne znaczenie protestów na Śląsku</w:t>
      </w:r>
    </w:p>
    <w:p>
      <w:pPr>
        <w:pStyle w:val="ListBullet"/>
      </w:pPr>
      <w:r>
        <w:t>połączyć wniosek z konkretną informacją z tekstu</w:t>
      </w:r>
    </w:p>
    <w:p>
      <w:pPr>
        <w:pStyle w:val="Heading1"/>
      </w:pPr>
      <w:r>
        <w:t>Przebieg</w:t>
      </w:r>
    </w:p>
    <w:p>
      <w:pPr>
        <w:spacing w:after="140"/>
      </w:pPr>
      <w:r>
        <w:rPr>
          <w:b/>
        </w:rPr>
        <w:t>0–5 min  /  Skojarzenia z Sierpniem ’80</w:t>
      </w:r>
    </w:p>
    <w:p>
      <w:pPr>
        <w:spacing w:after="140"/>
      </w:pPr>
      <w:r>
        <w:rPr>
          <w:b/>
        </w:rPr>
        <w:t>5–12 min  /  Oś czterech porozumień</w:t>
      </w:r>
    </w:p>
    <w:p>
      <w:pPr>
        <w:spacing w:after="140"/>
      </w:pPr>
      <w:r>
        <w:rPr>
          <w:b/>
        </w:rPr>
        <w:t>12–24 min  /  Czytanie opracowania</w:t>
      </w:r>
    </w:p>
    <w:p>
      <w:pPr>
        <w:spacing w:after="140"/>
      </w:pPr>
      <w:r>
        <w:rPr>
          <w:b/>
        </w:rPr>
        <w:t>24–35 min  /  Mapa znaczeń</w:t>
      </w:r>
    </w:p>
    <w:p>
      <w:pPr>
        <w:spacing w:after="140"/>
      </w:pPr>
      <w:r>
        <w:rPr>
          <w:b/>
        </w:rPr>
        <w:t>35–42 min  /  Teza i dowód</w:t>
      </w:r>
    </w:p>
    <w:p>
      <w:pPr>
        <w:spacing w:after="140"/>
      </w:pPr>
      <w:r>
        <w:rPr>
          <w:b/>
        </w:rPr>
        <w:t>42–45 min  /  Bilet wyjścia</w:t>
      </w:r>
    </w:p>
    <w:p>
      <w:pPr>
        <w:pStyle w:val="Heading1"/>
      </w:pPr>
      <w:r>
        <w:t>Przed lekcją</w:t>
      </w:r>
    </w:p>
    <w:p>
      <w:pPr>
        <w:pStyle w:val="ListBullet"/>
      </w:pPr>
      <w:r>
        <w:t>wydrukuj kartę pracy — po jednym egzemplarzu na ucznia</w:t>
      </w:r>
    </w:p>
    <w:p>
      <w:pPr>
        <w:pStyle w:val="ListBullet"/>
      </w:pPr>
      <w:r>
        <w:t>otwórz prezentację i przygotuj tablicę lub wspólny dokument</w:t>
      </w:r>
    </w:p>
    <w:p>
      <w:pPr>
        <w:pStyle w:val="ListBullet"/>
      </w:pPr>
      <w:r>
        <w:t>zaplanowany układ pracy: indywidualnie → w parach → wspólne omówienie</w:t>
      </w:r>
    </w:p>
    <w:p>
      <w:pPr>
        <w:pStyle w:val="Heading1"/>
      </w:pPr>
      <w:r>
        <w:t>Wskazówki prowadzącego</w:t>
      </w:r>
    </w:p>
    <w:p>
      <w:pPr>
        <w:pStyle w:val="ListBullet"/>
      </w:pPr>
      <w:r>
        <w:t>Nie buduj rankingu miast. Pokazuj sieć porozumień i różne skale wydarzeń.</w:t>
      </w:r>
    </w:p>
    <w:p>
      <w:pPr>
        <w:pStyle w:val="ListBullet"/>
      </w:pPr>
      <w:r>
        <w:t>Pytaj, które zdanie przekazuje informację z tekstu, a które jest interpretacją ucznia.</w:t>
      </w:r>
    </w:p>
    <w:p>
      <w:pPr>
        <w:pStyle w:val="ListBullet"/>
      </w:pPr>
      <w:r>
        <w:t>Uczniowie mogą pracować na gotowej osi czasu.</w:t>
      </w:r>
    </w:p>
    <w:p>
      <w:r>
        <w:br w:type="page"/>
      </w:r>
    </w:p>
    <w:p>
      <w:pPr>
        <w:pStyle w:val="Microlabel"/>
      </w:pPr>
      <w:r>
        <w:t>SKRYPT DO ZADANIA GŁÓWNEGO</w:t>
      </w:r>
    </w:p>
    <w:p>
      <w:pPr>
        <w:pStyle w:val="Heading1"/>
      </w:pPr>
      <w:r>
        <w:t>Wprowadzenie do materiału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Opracowanie autorskie na podstawie materiałów instytucjonalnych. Tekst nie jest cytatem z dokumentu historycznego.</w:t>
      </w:r>
    </w:p>
    <w:p>
      <w:r>
        <w:t>3 września 1980 roku w kopalni „Manifest Lipcowy” w Jastrzębiu-Zdroju Komisja Rządowa i Międzyzakładowy Komitet Strajkowy podpisały porozumienie. Potwierdzało ono ustalenia gdańskie, a dodatkowo dotyczyło między innymi zniesienia czterobrygadowego systemu pracy w górnictwie oraz wolnych sobót i niedziel od początku 1981 roku.</w:t>
      </w:r>
    </w:p>
    <w:p>
      <w:pPr>
        <w:pStyle w:val="Heading1"/>
      </w:pPr>
      <w:r>
        <w:t>Polecenia</w:t>
      </w:r>
    </w:p>
    <w:p>
      <w:pPr>
        <w:pStyle w:val="ListBullet"/>
      </w:pPr>
      <w:r>
        <w:t>Podkreśl informacje wskazane w tekście, które można dalej sprawdzić.</w:t>
      </w:r>
    </w:p>
    <w:p>
      <w:pPr>
        <w:pStyle w:val="ListBullet"/>
      </w:pPr>
      <w:r>
        <w:t>Napisz wniosek: „Śląsk był ważny, ponieważ…”.</w:t>
      </w:r>
    </w:p>
    <w:p>
      <w:pPr>
        <w:pStyle w:val="ListBullet"/>
      </w:pPr>
      <w:r>
        <w:t>Podaj informację z tekstu, która wspiera Twój wniosek.</w:t>
      </w:r>
    </w:p>
    <w:p>
      <w:pPr>
        <w:pStyle w:val="ListBullet"/>
      </w:pPr>
      <w:r>
        <w:t>Zapisz jedno pytanie i nazwij źródło potrzebne do odpowiedzi.</w:t>
      </w:r>
    </w:p>
    <w:p>
      <w:pPr>
        <w:pStyle w:val="Heading1"/>
      </w:pPr>
      <w:r>
        <w:t>Odpowiedzi modelowe</w:t>
      </w:r>
    </w:p>
    <w:p>
      <w:pPr>
        <w:pStyle w:val="ListBullet"/>
      </w:pPr>
      <w:r>
        <w:t>Informacje z tekstu: 3 września 1980 roku, kopalnia „Manifest Lipcowy”, Komisja Rządowa i MKS.</w:t>
      </w:r>
    </w:p>
    <w:p>
      <w:pPr>
        <w:pStyle w:val="ListBullet"/>
      </w:pPr>
      <w:r>
        <w:t>Wymiar ponadregionalny pokazuje potwierdzenie ustaleń gdańskich i miejsce porozumienia w sieci wydarzeń.</w:t>
      </w:r>
    </w:p>
    <w:p>
      <w:pPr>
        <w:pStyle w:val="ListBullet"/>
      </w:pPr>
      <w:r>
        <w:t>Przykładowy wniosek: Śląsk był ważny, ponieważ porozumienie jastrzębskie rozszerzało ogólnopolski proces o sprawy wynikające z realiów pracy górniczej.</w:t>
      </w:r>
    </w:p>
    <w:p>
      <w:pPr>
        <w:pStyle w:val="Heading1"/>
      </w:pPr>
      <w:r>
        <w:t>Pytania pogłębiające</w:t>
      </w:r>
    </w:p>
    <w:p>
      <w:pPr>
        <w:pStyle w:val="ListBullet"/>
      </w:pPr>
      <w:r>
        <w:t>Na jakiej informacji z tekstu opierasz ten wniosek?</w:t>
      </w:r>
    </w:p>
    <w:p>
      <w:pPr>
        <w:pStyle w:val="ListBullet"/>
      </w:pPr>
      <w:r>
        <w:t>Czego opracowanie nie mówi?</w:t>
      </w:r>
    </w:p>
    <w:p>
      <w:pPr>
        <w:pStyle w:val="ListBullet"/>
      </w:pPr>
      <w:r>
        <w:t>Kto może widzieć tę sprawę inaczej?</w:t>
      </w:r>
    </w:p>
    <w:p>
      <w:pPr>
        <w:pStyle w:val="ListBullet"/>
      </w:pPr>
      <w:r>
        <w:t>Jakiego dokumentu lub opracowania potrzebujemy do weryfikacji?</w:t>
      </w:r>
    </w:p>
    <w:p>
      <w:pPr>
        <w:pStyle w:val="Heading1"/>
      </w:pPr>
      <w:r>
        <w:t>Ocena kształtująca</w:t>
      </w:r>
    </w:p>
    <w:p>
      <w:r>
        <w:t>Informacja zwrotna dotyczy poprawności odczytania tekstu, związku między informacją a wnioskiem oraz ostrożności języka — nie zgodności opinii ucznia z opinią prowadzącego.</w:t>
      </w:r>
    </w:p>
    <w:p>
      <w:r>
        <w:br w:type="page"/>
      </w:r>
    </w:p>
    <w:p>
      <w:pPr>
        <w:pStyle w:val="Microlabel"/>
      </w:pPr>
      <w:r>
        <w:t>RÓŻNICOWANIE I DOMKNIĘCIE</w:t>
      </w:r>
    </w:p>
    <w:p>
      <w:pPr>
        <w:pStyle w:val="Heading1"/>
      </w:pPr>
      <w:r>
        <w:t>Klasy 7–8 — wariant podstawowy</w:t>
      </w:r>
    </w:p>
    <w:p>
      <w:pPr>
        <w:pStyle w:val="ListBullet"/>
      </w:pPr>
      <w:r>
        <w:t>uczniowie korzystają z gotowej osi czasu i banku pojęć</w:t>
      </w:r>
    </w:p>
    <w:p>
      <w:pPr>
        <w:pStyle w:val="ListBullet"/>
      </w:pPr>
      <w:r>
        <w:t>wystarczy jeden wniosek i jedna informacja z tekstu</w:t>
      </w:r>
    </w:p>
    <w:p>
      <w:pPr>
        <w:pStyle w:val="ListBullet"/>
      </w:pPr>
      <w:r>
        <w:t>odpowiedź może być ustna</w:t>
      </w:r>
    </w:p>
    <w:p>
      <w:pPr>
        <w:pStyle w:val="Heading1"/>
      </w:pPr>
      <w:r>
        <w:t>Szkoły ponadpodstawowe — wariant rozszerzony</w:t>
      </w:r>
    </w:p>
    <w:p>
      <w:pPr>
        <w:pStyle w:val="ListBullet"/>
      </w:pPr>
      <w:r>
        <w:t>uczniowie porównują dwa opisy wydarzenia</w:t>
      </w:r>
    </w:p>
    <w:p>
      <w:pPr>
        <w:pStyle w:val="ListBullet"/>
      </w:pPr>
      <w:r>
        <w:t>nazywają ograniczenia opracowania i potrzebne źródło pierwotne</w:t>
      </w:r>
    </w:p>
    <w:p>
      <w:pPr>
        <w:pStyle w:val="ListBullet"/>
      </w:pPr>
      <w:r>
        <w:t>tworzą krótką notatkę z odwołaniem do źródła</w:t>
      </w:r>
    </w:p>
    <w:p>
      <w:pPr>
        <w:pStyle w:val="Heading1"/>
      </w:pPr>
      <w:r>
        <w:t>Bilet wyjścia</w:t>
      </w:r>
    </w:p>
    <w:p>
      <w:pPr>
        <w:pStyle w:val="ListBullet"/>
      </w:pPr>
      <w:r>
        <w:t>Jedna data, którą zapamiętam…</w:t>
      </w:r>
    </w:p>
    <w:p>
      <w:pPr>
        <w:pStyle w:val="ListBullet"/>
      </w:pPr>
      <w:r>
        <w:t>Najważniejszy wniosek…</w:t>
      </w:r>
    </w:p>
    <w:p>
      <w:pPr>
        <w:pStyle w:val="ListBullet"/>
      </w:pPr>
      <w:r>
        <w:t>Dowód dla mojego wniosku…</w:t>
      </w:r>
    </w:p>
    <w:p>
      <w:pPr>
        <w:pStyle w:val="Heading1"/>
      </w:pPr>
      <w:r>
        <w:t>Źródła modułu</w:t>
      </w:r>
    </w:p>
    <w:p>
      <w:pPr>
        <w:pStyle w:val="ListBullet"/>
      </w:pPr>
      <w:r>
        <w:t>IPN, Strajkowe lato 1980 i powstanie NSZZ „Solidarność” w województwie katowickim</w:t>
      </w:r>
    </w:p>
    <w:p>
      <w:pPr>
        <w:pStyle w:val="ListBullet"/>
      </w:pPr>
      <w:r>
        <w:t>IPN, Kalendarium Sierpnia 1980</w:t>
      </w:r>
    </w:p>
    <w:p>
      <w:pPr>
        <w:pStyle w:val="ListBullet"/>
      </w:pPr>
      <w:r>
        <w:t>Dzieje.pl / PAP, Porozumienie Jastrzębskie</w:t>
      </w:r>
    </w:p>
    <w:p>
      <w:r>
        <w:br w:type="page"/>
      </w:r>
    </w:p>
    <w:p>
      <w:pPr>
        <w:pStyle w:val="Microlabel"/>
      </w:pPr>
      <w:r>
        <w:t>MODUŁ 02 · 45 MINUT</w:t>
      </w:r>
    </w:p>
    <w:p>
      <w:pPr>
        <w:pStyle w:val="Title"/>
      </w:pPr>
      <w:r>
        <w:t>Postulaty i godność pracy</w:t>
      </w:r>
    </w:p>
    <w:p>
      <w:pPr>
        <w:pStyle w:val="Subtitle"/>
      </w:pPr>
      <w:r>
        <w:t>Co ustalenia mówią o pracy, zdrowiu, czasie i relacjach rodzinnych?</w:t>
      </w:r>
    </w:p>
    <w:p>
      <w:pPr>
        <w:pStyle w:val="Heading1"/>
      </w:pPr>
      <w:r>
        <w:t>Cele i kryteria sukcesu</w:t>
      </w:r>
    </w:p>
    <w:p>
      <w:pPr>
        <w:pStyle w:val="ListBullet"/>
      </w:pPr>
      <w:r>
        <w:t>analizować opis ustaleń</w:t>
      </w:r>
    </w:p>
    <w:p>
      <w:pPr>
        <w:pStyle w:val="ListBullet"/>
      </w:pPr>
      <w:r>
        <w:t>odróżnić problem, zobowiązanie i skutek</w:t>
      </w:r>
    </w:p>
    <w:p>
      <w:pPr>
        <w:pStyle w:val="ListBullet"/>
      </w:pPr>
      <w:r>
        <w:t>wyjaśnić związek warunków pracy z godnością</w:t>
      </w:r>
    </w:p>
    <w:p>
      <w:pPr>
        <w:pStyle w:val="Heading1"/>
      </w:pPr>
      <w:r>
        <w:t>Przebieg</w:t>
      </w:r>
    </w:p>
    <w:p>
      <w:pPr>
        <w:spacing w:after="140"/>
      </w:pPr>
      <w:r>
        <w:rPr>
          <w:b/>
        </w:rPr>
        <w:t>0–5 min  /  Co znaczy godna praca?</w:t>
      </w:r>
    </w:p>
    <w:p>
      <w:pPr>
        <w:spacing w:after="140"/>
      </w:pPr>
      <w:r>
        <w:rPr>
          <w:b/>
        </w:rPr>
        <w:t>5–12 min  /  Kontekst opracowania</w:t>
      </w:r>
    </w:p>
    <w:p>
      <w:pPr>
        <w:spacing w:after="140"/>
      </w:pPr>
      <w:r>
        <w:rPr>
          <w:b/>
        </w:rPr>
        <w:t>12–27 min  /  Cztery stacje z opracowaniami</w:t>
      </w:r>
    </w:p>
    <w:p>
      <w:pPr>
        <w:spacing w:after="140"/>
      </w:pPr>
      <w:r>
        <w:rPr>
          <w:b/>
        </w:rPr>
        <w:t>27–36 min  /  Galeria argumentów</w:t>
      </w:r>
    </w:p>
    <w:p>
      <w:pPr>
        <w:spacing w:after="140"/>
      </w:pPr>
      <w:r>
        <w:rPr>
          <w:b/>
        </w:rPr>
        <w:t>36–42 min  /  Ostrożny wniosek</w:t>
      </w:r>
    </w:p>
    <w:p>
      <w:pPr>
        <w:spacing w:after="140"/>
      </w:pPr>
      <w:r>
        <w:rPr>
          <w:b/>
        </w:rPr>
        <w:t>42–45 min  /  Bilet wyjścia</w:t>
      </w:r>
    </w:p>
    <w:p>
      <w:pPr>
        <w:pStyle w:val="Heading1"/>
      </w:pPr>
      <w:r>
        <w:t>Przed lekcją</w:t>
      </w:r>
    </w:p>
    <w:p>
      <w:pPr>
        <w:pStyle w:val="ListBullet"/>
      </w:pPr>
      <w:r>
        <w:t>wydrukuj kartę pracy — po jednym egzemplarzu na ucznia</w:t>
      </w:r>
    </w:p>
    <w:p>
      <w:pPr>
        <w:pStyle w:val="ListBullet"/>
      </w:pPr>
      <w:r>
        <w:t>wydrukuj i potnij jeden komplet czterech kart stacyjnych na każde cztery grupy</w:t>
      </w:r>
    </w:p>
    <w:p>
      <w:pPr>
        <w:pStyle w:val="ListBullet"/>
      </w:pPr>
      <w:r>
        <w:t>ustaw cztery miejsca pracy; po analizie grupy zostawiają kartę, a pozostali dopisują pytanie</w:t>
      </w:r>
    </w:p>
    <w:p>
      <w:pPr>
        <w:pStyle w:val="Heading1"/>
      </w:pPr>
      <w:r>
        <w:t>Wskazówki prowadzącego</w:t>
      </w:r>
    </w:p>
    <w:p>
      <w:pPr>
        <w:pStyle w:val="ListBullet"/>
      </w:pPr>
      <w:r>
        <w:t>Rozróżniaj postulat, zapis porozumienia i późniejszy skutek.</w:t>
      </w:r>
    </w:p>
    <w:p>
      <w:pPr>
        <w:pStyle w:val="ListBullet"/>
      </w:pPr>
      <w:r>
        <w:t>Nie sprowadzaj godności pracy wyłącznie do wynagrodzenia.</w:t>
      </w:r>
    </w:p>
    <w:p>
      <w:pPr>
        <w:pStyle w:val="ListBullet"/>
      </w:pPr>
      <w:r>
        <w:t>Nie wymagaj ujawniania sytuacji zawodowej rodziny ucznia.</w:t>
      </w:r>
    </w:p>
    <w:p>
      <w:r>
        <w:br w:type="page"/>
      </w:r>
    </w:p>
    <w:p>
      <w:pPr>
        <w:pStyle w:val="Microlabel"/>
      </w:pPr>
      <w:r>
        <w:t>SKRYPT DO ZADANIA GŁÓWNEGO</w:t>
      </w:r>
    </w:p>
    <w:p>
      <w:pPr>
        <w:pStyle w:val="Heading1"/>
      </w:pPr>
      <w:r>
        <w:t>Wprowadzenie do materiału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Opracowanie edukacyjne na podstawie materiałów IPN. Tekst nie jest cytatem z protokołu porozumienia.</w:t>
      </w:r>
    </w:p>
    <w:p>
      <w:r>
        <w:t>Opracowania IPN wskazują cztery ważne ustalenia: zniesienie czterobrygadowego systemu pracy w górnictwie, wolne soboty i niedziele od początku 1981 roku, zobowiązanie do przedstawienia projektu obniżenia wieku emerytalnego w górnictwie oraz rozszerzenie katalogu chorób zawodowych o pylicę płuc.</w:t>
      </w:r>
    </w:p>
    <w:p>
      <w:pPr>
        <w:pStyle w:val="Heading1"/>
      </w:pPr>
      <w:r>
        <w:t>Polecenia</w:t>
      </w:r>
    </w:p>
    <w:p>
      <w:pPr>
        <w:pStyle w:val="ListBullet"/>
      </w:pPr>
      <w:r>
        <w:t>Wybierz jedną kartę stacyjną i nazwij problem życia codziennego.</w:t>
      </w:r>
    </w:p>
    <w:p>
      <w:pPr>
        <w:pStyle w:val="ListBullet"/>
      </w:pPr>
      <w:r>
        <w:t>Określ: opis zmiany czy zobowiązanie na przyszłość?</w:t>
      </w:r>
    </w:p>
    <w:p>
      <w:pPr>
        <w:pStyle w:val="ListBullet"/>
      </w:pPr>
      <w:r>
        <w:t>Wyjaśnij znaczenie dla pracownika lub rodziny.</w:t>
      </w:r>
    </w:p>
    <w:p>
      <w:pPr>
        <w:pStyle w:val="ListBullet"/>
      </w:pPr>
      <w:r>
        <w:t>Dokończ: „Opracowanie nie pozwala jeszcze stwierdzić, że…”.</w:t>
      </w:r>
    </w:p>
    <w:p>
      <w:pPr>
        <w:pStyle w:val="Heading1"/>
      </w:pPr>
      <w:r>
        <w:t>Odpowiedzi modelowe</w:t>
      </w:r>
    </w:p>
    <w:p>
      <w:pPr>
        <w:pStyle w:val="ListBullet"/>
      </w:pPr>
      <w:r>
        <w:t>CZAS: problem pracy ciągłej; opracowanie wskazuje zniesienie systemu, ale samo nie potwierdza wdrożenia.</w:t>
      </w:r>
    </w:p>
    <w:p>
      <w:pPr>
        <w:pStyle w:val="ListBullet"/>
      </w:pPr>
      <w:r>
        <w:t>RODZINA: problem braku wspólnego czasu; wolne soboty i niedziele opisano jako zmianę od początku 1981 roku.</w:t>
      </w:r>
    </w:p>
    <w:p>
      <w:pPr>
        <w:pStyle w:val="ListBullet"/>
      </w:pPr>
      <w:r>
        <w:t>ZDROWIE: pylica jako choroba zawodowa; znaczenie obejmuje uznanie związku choroby z pracą.</w:t>
      </w:r>
    </w:p>
    <w:p>
      <w:pPr>
        <w:pStyle w:val="ListBullet"/>
      </w:pPr>
      <w:r>
        <w:t>PRZYSZŁOŚĆ: przedstawienie projektu obniżenia wieku emerytalnego jest zobowiązaniem na przyszłość.</w:t>
      </w:r>
    </w:p>
    <w:p>
      <w:pPr>
        <w:pStyle w:val="Heading1"/>
      </w:pPr>
      <w:r>
        <w:t>Pytania pogłębiające</w:t>
      </w:r>
    </w:p>
    <w:p>
      <w:pPr>
        <w:pStyle w:val="ListBullet"/>
      </w:pPr>
      <w:r>
        <w:t>Na jakiej informacji z tekstu opierasz ten wniosek?</w:t>
      </w:r>
    </w:p>
    <w:p>
      <w:pPr>
        <w:pStyle w:val="ListBullet"/>
      </w:pPr>
      <w:r>
        <w:t>Czego opracowanie nie mówi?</w:t>
      </w:r>
    </w:p>
    <w:p>
      <w:pPr>
        <w:pStyle w:val="ListBullet"/>
      </w:pPr>
      <w:r>
        <w:t>Kto może widzieć tę sprawę inaczej?</w:t>
      </w:r>
    </w:p>
    <w:p>
      <w:pPr>
        <w:pStyle w:val="ListBullet"/>
      </w:pPr>
      <w:r>
        <w:t>Jakiego dokumentu lub opracowania potrzebujemy do weryfikacji?</w:t>
      </w:r>
    </w:p>
    <w:p>
      <w:pPr>
        <w:pStyle w:val="Heading1"/>
      </w:pPr>
      <w:r>
        <w:t>Ocena kształtująca</w:t>
      </w:r>
    </w:p>
    <w:p>
      <w:r>
        <w:t>Informacja zwrotna dotyczy poprawności odczytania tekstu, związku między informacją a wnioskiem oraz ostrożności języka — nie zgodności opinii ucznia z opinią prowadzącego.</w:t>
      </w:r>
    </w:p>
    <w:p>
      <w:r>
        <w:br w:type="page"/>
      </w:r>
    </w:p>
    <w:p>
      <w:pPr>
        <w:pStyle w:val="Microlabel"/>
      </w:pPr>
      <w:r>
        <w:t>RÓŻNICOWANIE I DOMKNIĘCIE</w:t>
      </w:r>
    </w:p>
    <w:p>
      <w:pPr>
        <w:pStyle w:val="Heading1"/>
      </w:pPr>
      <w:r>
        <w:t>Klasy 7–8 — wariant podstawowy</w:t>
      </w:r>
    </w:p>
    <w:p>
      <w:pPr>
        <w:pStyle w:val="ListBullet"/>
      </w:pPr>
      <w:r>
        <w:t>jedno ustalenie na grupę i gotowy schemat: problem → zapis → znaczenie</w:t>
      </w:r>
    </w:p>
    <w:p>
      <w:pPr>
        <w:pStyle w:val="ListBullet"/>
      </w:pPr>
      <w:r>
        <w:t>pojęcia specjalistyczne są objaśnione na karcie</w:t>
      </w:r>
    </w:p>
    <w:p>
      <w:pPr>
        <w:pStyle w:val="ListBullet"/>
      </w:pPr>
      <w:r>
        <w:t>odpowiedź może być ustna</w:t>
      </w:r>
    </w:p>
    <w:p>
      <w:pPr>
        <w:pStyle w:val="Heading1"/>
      </w:pPr>
      <w:r>
        <w:t>Szkoły ponadpodstawowe — wariant rozszerzony</w:t>
      </w:r>
    </w:p>
    <w:p>
      <w:pPr>
        <w:pStyle w:val="ListBullet"/>
      </w:pPr>
      <w:r>
        <w:t>uczniowie rozpoznają język zobowiązań</w:t>
      </w:r>
    </w:p>
    <w:p>
      <w:pPr>
        <w:pStyle w:val="ListBullet"/>
      </w:pPr>
      <w:r>
        <w:t>porównują opracowanie z opisem zachowanego protokołu</w:t>
      </w:r>
    </w:p>
    <w:p>
      <w:pPr>
        <w:pStyle w:val="ListBullet"/>
      </w:pPr>
      <w:r>
        <w:t>nazywają informację potrzebną do oceny późniejszego wdrożenia</w:t>
      </w:r>
    </w:p>
    <w:p>
      <w:pPr>
        <w:pStyle w:val="Heading1"/>
      </w:pPr>
      <w:r>
        <w:t>Bilet wyjścia</w:t>
      </w:r>
    </w:p>
    <w:p>
      <w:pPr>
        <w:pStyle w:val="ListBullet"/>
      </w:pPr>
      <w:r>
        <w:t>Najsilniej z godnością pracy łączy się…</w:t>
      </w:r>
    </w:p>
    <w:p>
      <w:pPr>
        <w:pStyle w:val="ListBullet"/>
      </w:pPr>
      <w:r>
        <w:t>Opracowanie wskazuje, że…</w:t>
      </w:r>
    </w:p>
    <w:p>
      <w:pPr>
        <w:pStyle w:val="ListBullet"/>
      </w:pPr>
      <w:r>
        <w:t>Opracowanie nie pozwala jeszcze stwierdzić, że…</w:t>
      </w:r>
    </w:p>
    <w:p>
      <w:pPr>
        <w:pStyle w:val="Heading1"/>
      </w:pPr>
      <w:r>
        <w:t>Źródła modułu</w:t>
      </w:r>
    </w:p>
    <w:p>
      <w:pPr>
        <w:pStyle w:val="ListBullet"/>
      </w:pPr>
      <w:r>
        <w:t>IPN, Obchody 38. rocznicy podpisania Porozumienia Jastrzębskiego</w:t>
      </w:r>
    </w:p>
    <w:p>
      <w:pPr>
        <w:pStyle w:val="ListBullet"/>
      </w:pPr>
      <w:r>
        <w:t>IPN, Strajkowe lato 1980</w:t>
      </w:r>
    </w:p>
    <w:p>
      <w:pPr>
        <w:pStyle w:val="ListBullet"/>
      </w:pPr>
      <w:r>
        <w:t>Szukaj w Archiwach, opis protokołu porozumienia</w:t>
      </w:r>
    </w:p>
    <w:p>
      <w:r>
        <w:br w:type="page"/>
      </w:r>
    </w:p>
    <w:p>
      <w:pPr>
        <w:pStyle w:val="Microlabel"/>
      </w:pPr>
      <w:r>
        <w:t>MODUŁ 03 · 45 MINUT</w:t>
      </w:r>
    </w:p>
    <w:p>
      <w:pPr>
        <w:pStyle w:val="Title"/>
      </w:pPr>
      <w:r>
        <w:t>Jak słuchać świadka?</w:t>
      </w:r>
    </w:p>
    <w:p>
      <w:pPr>
        <w:pStyle w:val="Subtitle"/>
      </w:pPr>
      <w:r>
        <w:t>Jak usłyszeć czyjąś perspektywę, nie odbierając rozmówcy kontroli nad jego historią?</w:t>
      </w:r>
    </w:p>
    <w:p>
      <w:pPr>
        <w:pStyle w:val="Heading1"/>
      </w:pPr>
      <w:r>
        <w:t>Cele i kryteria sukcesu</w:t>
      </w:r>
    </w:p>
    <w:p>
      <w:pPr>
        <w:pStyle w:val="ListBullet"/>
      </w:pPr>
      <w:r>
        <w:t>rozumieć relację pamięciową jako perspektywę</w:t>
      </w:r>
    </w:p>
    <w:p>
      <w:pPr>
        <w:pStyle w:val="ListBullet"/>
      </w:pPr>
      <w:r>
        <w:t>tworzyć pytania otwarte</w:t>
      </w:r>
    </w:p>
    <w:p>
      <w:pPr>
        <w:pStyle w:val="ListBullet"/>
      </w:pPr>
      <w:r>
        <w:t>stosować świadomą zgodę, prawo do odmowy i bezpieczne użycie nagrania</w:t>
      </w:r>
    </w:p>
    <w:p>
      <w:pPr>
        <w:pStyle w:val="Heading1"/>
      </w:pPr>
      <w:r>
        <w:t>Przebieg</w:t>
      </w:r>
    </w:p>
    <w:p>
      <w:pPr>
        <w:spacing w:after="140"/>
      </w:pPr>
      <w:r>
        <w:rPr>
          <w:b/>
        </w:rPr>
        <w:t>0–6 min  /  Słuchać czy przesłuchiwać?</w:t>
      </w:r>
    </w:p>
    <w:p>
      <w:pPr>
        <w:spacing w:after="140"/>
      </w:pPr>
      <w:r>
        <w:rPr>
          <w:b/>
        </w:rPr>
        <w:t>6–14 min  /  Pamięć jako źródło</w:t>
      </w:r>
    </w:p>
    <w:p>
      <w:pPr>
        <w:spacing w:after="140"/>
      </w:pPr>
      <w:r>
        <w:rPr>
          <w:b/>
        </w:rPr>
        <w:t>14–22 min  /  Kontrakt rozmowy</w:t>
      </w:r>
    </w:p>
    <w:p>
      <w:pPr>
        <w:spacing w:after="140"/>
      </w:pPr>
      <w:r>
        <w:rPr>
          <w:b/>
        </w:rPr>
        <w:t>22–34 min  /  Mikrowywiad bez publikacji</w:t>
      </w:r>
    </w:p>
    <w:p>
      <w:pPr>
        <w:spacing w:after="140"/>
      </w:pPr>
      <w:r>
        <w:rPr>
          <w:b/>
        </w:rPr>
        <w:t>34–41 min  /  Redakcja bez nadużycia</w:t>
      </w:r>
    </w:p>
    <w:p>
      <w:pPr>
        <w:spacing w:after="140"/>
      </w:pPr>
      <w:r>
        <w:rPr>
          <w:b/>
        </w:rPr>
        <w:t>41–45 min  /  Bilet wyjścia</w:t>
      </w:r>
    </w:p>
    <w:p>
      <w:pPr>
        <w:pStyle w:val="Heading1"/>
      </w:pPr>
      <w:r>
        <w:t>Przed lekcją</w:t>
      </w:r>
    </w:p>
    <w:p>
      <w:pPr>
        <w:pStyle w:val="ListBullet"/>
      </w:pPr>
      <w:r>
        <w:t>wydrukuj kartę pracy — po jednym egzemplarzu na ucznia lub parę</w:t>
      </w:r>
    </w:p>
    <w:p>
      <w:pPr>
        <w:pStyle w:val="ListBullet"/>
      </w:pPr>
      <w:r>
        <w:t>ustaw pary; przy nieparzystej liczbie uczniów utwórz trójkę z obserwatorem</w:t>
      </w:r>
    </w:p>
    <w:p>
      <w:pPr>
        <w:pStyle w:val="ListBullet"/>
      </w:pPr>
      <w:r>
        <w:t>nie używaj nagrywania — ćwiczenie dotyczy rozmowy, zgody i informacji zwrotnej</w:t>
      </w:r>
    </w:p>
    <w:p>
      <w:pPr>
        <w:pStyle w:val="Heading1"/>
      </w:pPr>
      <w:r>
        <w:t>Wskazówki prowadzącego</w:t>
      </w:r>
    </w:p>
    <w:p>
      <w:pPr>
        <w:pStyle w:val="ListBullet"/>
      </w:pPr>
      <w:r>
        <w:t>Domyślnie ćwicz bez nagrywania. Zgoda na ćwiczenie nie jest zgodą na publikację.</w:t>
      </w:r>
    </w:p>
    <w:p>
      <w:pPr>
        <w:pStyle w:val="ListBullet"/>
      </w:pPr>
      <w:r>
        <w:t>Rozmówca ma prawo nie odpowiadać, przerwać i ustalić zakres użycia materiału.</w:t>
      </w:r>
    </w:p>
    <w:p>
      <w:pPr>
        <w:pStyle w:val="ListBullet"/>
      </w:pPr>
      <w:r>
        <w:t>Pamięć jest perspektywą; informacje faktograficzne zestawiamy z innymi źródłami.</w:t>
      </w:r>
    </w:p>
    <w:p>
      <w:r>
        <w:br w:type="page"/>
      </w:r>
    </w:p>
    <w:p>
      <w:pPr>
        <w:pStyle w:val="Microlabel"/>
      </w:pPr>
      <w:r>
        <w:t>SKRYPT DO ZADANIA GŁÓWNEGO</w:t>
      </w:r>
    </w:p>
    <w:p>
      <w:pPr>
        <w:pStyle w:val="Heading1"/>
      </w:pPr>
      <w:r>
        <w:t>Wprowadzenie do materiału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Autorski przykład dydaktyczny. Nie jest wypowiedzią prawdziwego świadka ani zapisem przeprowadzonego wywiadu.</w:t>
      </w:r>
    </w:p>
    <w:p>
      <w:r>
        <w:t>Pytanie „Czy górnicy wtedy bali się władzy?” sugeruje emocję i zbiorową odpowiedź. Pytanie otwarte zostawia rozmówcy przestrzeń na własny język. Zgoda na rozmowę nie musi oznaczać zgody na publiczne udostępnienie nagrania.</w:t>
      </w:r>
    </w:p>
    <w:p>
      <w:pPr>
        <w:pStyle w:val="Heading1"/>
      </w:pPr>
      <w:r>
        <w:t>Polecenia</w:t>
      </w:r>
    </w:p>
    <w:p>
      <w:pPr>
        <w:pStyle w:val="ListBullet"/>
      </w:pPr>
      <w:r>
        <w:t>Zamień pytanie sugerujące na otwarte.</w:t>
      </w:r>
    </w:p>
    <w:p>
      <w:pPr>
        <w:pStyle w:val="ListBullet"/>
      </w:pPr>
      <w:r>
        <w:t>Dodaj neutralne pytanie pogłębiające.</w:t>
      </w:r>
    </w:p>
    <w:p>
      <w:pPr>
        <w:pStyle w:val="ListBullet"/>
      </w:pPr>
      <w:r>
        <w:t>Zapisz zdanie przypominające o prawie do odmowy.</w:t>
      </w:r>
    </w:p>
    <w:p>
      <w:pPr>
        <w:pStyle w:val="ListBullet"/>
      </w:pPr>
      <w:r>
        <w:t>Wskaż informację, którą po rozmowie trzeba sprawdzić w innym źródle.</w:t>
      </w:r>
    </w:p>
    <w:p>
      <w:pPr>
        <w:pStyle w:val="Heading1"/>
      </w:pPr>
      <w:r>
        <w:t>Odpowiedzi modelowe</w:t>
      </w:r>
    </w:p>
    <w:p>
      <w:pPr>
        <w:pStyle w:val="ListBullet"/>
      </w:pPr>
      <w:r>
        <w:t>Pytanie otwarte: „Jak Pan/Pani zapamiętał(a) atmosferę w miejscu pracy w tamtym czasie?”</w:t>
      </w:r>
    </w:p>
    <w:p>
      <w:pPr>
        <w:pStyle w:val="ListBullet"/>
      </w:pPr>
      <w:r>
        <w:t>Pytanie pogłębiające: „Co sprawiło, że właśnie ten moment Pan/Pani zapamiętał(a)?”</w:t>
      </w:r>
    </w:p>
    <w:p>
      <w:pPr>
        <w:pStyle w:val="ListBullet"/>
      </w:pPr>
      <w:r>
        <w:t>Prawo do odmowy: „Może Pan/Pani nie odpowiadać na to pytanie albo w każdej chwili zrobić przerwę.”</w:t>
      </w:r>
    </w:p>
    <w:p>
      <w:pPr>
        <w:pStyle w:val="ListBullet"/>
      </w:pPr>
      <w:r>
        <w:t>Bezpieczna redakcja zachowuje negację, zastrzeżenia i kontekst; nie wolno usuwać słów, które odwracają sens wypowiedzi.</w:t>
      </w:r>
    </w:p>
    <w:p>
      <w:pPr>
        <w:pStyle w:val="Heading1"/>
      </w:pPr>
      <w:r>
        <w:t>Pytania pogłębiające</w:t>
      </w:r>
    </w:p>
    <w:p>
      <w:pPr>
        <w:pStyle w:val="ListBullet"/>
      </w:pPr>
      <w:r>
        <w:t>Czy pytanie zostawia rozmówcy możliwość własnej odpowiedzi?</w:t>
      </w:r>
    </w:p>
    <w:p>
      <w:pPr>
        <w:pStyle w:val="ListBullet"/>
      </w:pPr>
      <w:r>
        <w:t>W jaki sposób przypomniano o prawie do odmowy?</w:t>
      </w:r>
    </w:p>
    <w:p>
      <w:pPr>
        <w:pStyle w:val="ListBullet"/>
      </w:pPr>
      <w:r>
        <w:t>Czy skrót zachowuje negację, zastrzeżenia i kontekst?</w:t>
      </w:r>
    </w:p>
    <w:p>
      <w:pPr>
        <w:pStyle w:val="ListBullet"/>
      </w:pPr>
      <w:r>
        <w:t>Co wymaga sprawdzenia w innym źródle?</w:t>
      </w:r>
    </w:p>
    <w:p>
      <w:pPr>
        <w:pStyle w:val="Heading1"/>
      </w:pPr>
      <w:r>
        <w:t>Ocena kształtująca</w:t>
      </w:r>
    </w:p>
    <w:p>
      <w:r>
        <w:t>Informacja zwrotna dotyczy otwartości pytania, uważnego słuchania, poszanowania zgody oraz zachowania sensu wypowiedzi — nie oceny osobistego wspomnienia.</w:t>
      </w:r>
    </w:p>
    <w:p>
      <w:r>
        <w:br w:type="page"/>
      </w:r>
    </w:p>
    <w:p>
      <w:pPr>
        <w:pStyle w:val="Microlabel"/>
      </w:pPr>
      <w:r>
        <w:t>RÓŻNICOWANIE I DOMKNIĘCIE</w:t>
      </w:r>
    </w:p>
    <w:p>
      <w:pPr>
        <w:pStyle w:val="Heading1"/>
      </w:pPr>
      <w:r>
        <w:t>Klasy 7–8 — wariant podstawowy</w:t>
      </w:r>
    </w:p>
    <w:p>
      <w:pPr>
        <w:pStyle w:val="ListBullet"/>
      </w:pPr>
      <w:r>
        <w:t>uczeń może być obserwatorem zamiast rozmówcą</w:t>
      </w:r>
    </w:p>
    <w:p>
      <w:pPr>
        <w:pStyle w:val="ListBullet"/>
      </w:pPr>
      <w:r>
        <w:t>korzysta z banku początków pytań</w:t>
      </w:r>
    </w:p>
    <w:p>
      <w:pPr>
        <w:pStyle w:val="ListBullet"/>
      </w:pPr>
      <w:r>
        <w:t>odpowiedź może przekazać na piśmie</w:t>
      </w:r>
    </w:p>
    <w:p>
      <w:pPr>
        <w:pStyle w:val="Heading1"/>
      </w:pPr>
      <w:r>
        <w:t>Szkoły ponadpodstawowe — wariant rozszerzony</w:t>
      </w:r>
    </w:p>
    <w:p>
      <w:pPr>
        <w:pStyle w:val="ListBullet"/>
      </w:pPr>
      <w:r>
        <w:t>uczniowie analizują ryzyko publikacji w internecie</w:t>
      </w:r>
    </w:p>
    <w:p>
      <w:pPr>
        <w:pStyle w:val="ListBullet"/>
      </w:pPr>
      <w:r>
        <w:t>planują metadane i transkrypcję</w:t>
      </w:r>
    </w:p>
    <w:p>
      <w:pPr>
        <w:pStyle w:val="ListBullet"/>
      </w:pPr>
      <w:r>
        <w:t>porównują relację ze źródłem dokumentowym bez oceniania pamięci jako błędu</w:t>
      </w:r>
    </w:p>
    <w:p>
      <w:pPr>
        <w:pStyle w:val="Heading1"/>
      </w:pPr>
      <w:r>
        <w:t>Bilet wyjścia</w:t>
      </w:r>
    </w:p>
    <w:p>
      <w:pPr>
        <w:pStyle w:val="ListBullet"/>
      </w:pPr>
      <w:r>
        <w:t>Przed rozmową zawsze…</w:t>
      </w:r>
    </w:p>
    <w:p>
      <w:pPr>
        <w:pStyle w:val="ListBullet"/>
      </w:pPr>
      <w:r>
        <w:t>W trakcie rozmowy rozmówca ma prawo…</w:t>
      </w:r>
    </w:p>
    <w:p>
      <w:pPr>
        <w:pStyle w:val="ListBullet"/>
      </w:pPr>
      <w:r>
        <w:t>Po rozmowie sprawdzę…</w:t>
      </w:r>
    </w:p>
    <w:p>
      <w:pPr>
        <w:pStyle w:val="Heading1"/>
      </w:pPr>
      <w:r>
        <w:t>Źródła modułu</w:t>
      </w:r>
    </w:p>
    <w:p>
      <w:pPr>
        <w:pStyle w:val="ListBullet"/>
      </w:pPr>
      <w:r>
        <w:t>Oral History Association, Core Principles</w:t>
      </w:r>
    </w:p>
    <w:p>
      <w:pPr>
        <w:pStyle w:val="ListBullet"/>
      </w:pPr>
      <w:r>
        <w:t>Oral History Association, Best Practices</w:t>
      </w:r>
    </w:p>
    <w:p>
      <w:pPr>
        <w:pStyle w:val="ListBullet"/>
      </w:pPr>
      <w:r>
        <w:t>Oral History Association, Statement on Ethics</w:t>
      </w:r>
    </w:p>
    <w:p>
      <w:r>
        <w:br w:type="page"/>
      </w:r>
    </w:p>
    <w:p>
      <w:pPr>
        <w:pStyle w:val="Microlabel"/>
      </w:pPr>
      <w:r>
        <w:t>PRAWA I ODPOWIEDZIALNOŚĆ</w:t>
      </w:r>
    </w:p>
    <w:p>
      <w:pPr>
        <w:pStyle w:val="Title"/>
      </w:pPr>
      <w:r>
        <w:t>Licencja i źródła</w:t>
      </w:r>
    </w:p>
    <w:p>
      <w:r>
        <w:t>Autorskie scenariusze, pytania, układ aktywności i karty pracy udostępniono na licencji Creative Commons Uznanie autorstwa 4.0 (CC BY 4.0), o ile przy danym elemencie nie wskazano inaczej. Logo projektu i materiały zewnętrzne nie są automatycznie objęte tą licencją.</w:t>
      </w:r>
    </w:p>
    <w:p>
      <w:pPr>
        <w:pStyle w:val="Heading1"/>
      </w:pPr>
      <w:r>
        <w:t>Sugerowane oznaczenie</w:t>
      </w:r>
    </w:p>
    <w:p>
      <w:r>
        <w:t>„Jastrzębie 1980 — Śląska droga do Solidarności”, Stowarzyszenie Słowem w Twarz, CC BY 4.0, jastrzebie1980.pl.</w:t>
      </w:r>
    </w:p>
    <w:p>
      <w:pPr>
        <w:pStyle w:val="Heading1"/>
      </w:pPr>
      <w:r>
        <w:t>Ważne przy relacjach świadków</w:t>
      </w:r>
    </w:p>
    <w:p>
      <w:r>
        <w:t>Każde nagranie wymaga osobnego uzgodnienia celu, zakresu, przechowywania i publikacji. Nie publikuj ćwiczeń klasowych ani danych osobowych bez odpowiedniej zgody i procedury szkoły/projektu.</w:t>
      </w:r>
    </w:p>
    <w:p>
      <w:pPr>
        <w:pStyle w:val="Heading1"/>
      </w:pPr>
      <w:r>
        <w:t>Kontakt</w:t>
      </w:r>
    </w:p>
    <w:p>
      <w:r>
        <w:t>Pytania dotyczące pakietu: biuro@stowarzyszenieswt.pl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6635E"/>
        <w:sz w:val="16"/>
      </w:rPr>
      <w:t xml:space="preserve">Przewodnik nauczyciela — Jastrzębie 1980  ·  </w:t>
    </w:r>
    <w:r>
      <w:rPr>
        <w:rFonts w:ascii="Arial" w:hAnsi="Arial"/>
        <w:color w:val="66635E"/>
        <w:sz w:val="16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icrolabel"/>
      <w:jc w:val="left"/>
    </w:pPr>
    <w:r>
      <w:t>JASTRZĘBIE 1980  /  MATERIAŁY EDUKACYJNE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color w:val="17171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71717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C52E2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171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1717"/>
      <w:spacing w:val="5"/>
      <w:kern w:val="28"/>
      <w:sz w:val="6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icrolabel">
    <w:name w:val="Micro label"/>
    <w:pPr>
      <w:keepNext/>
      <w:spacing w:after="100"/>
    </w:pPr>
    <w:rPr>
      <w:rFonts w:ascii="Arial" w:hAnsi="Arial"/>
      <w:b/>
      <w:color w:val="C52E2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Przewodnik nauczyciela — Jastrzębie 1980</dc:title>
  <dc:subject>Pakiet edukacyjny Jastrzębie 1980</dc:subject>
  <dc:creator>Stowarzyszenie Słowem w Twarz</dc:creator>
  <cp:keywords>Jastrzębie 1980, Porozumienie Jastrzębskie, edukacja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